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浙江工商大学同等学力课程学习项目校外助学中心管理团队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遴选评审标准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76" w:lineRule="auto"/>
        <w:textAlignment w:val="auto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lang w:val="en-US" w:eastAsia="zh-CN"/>
        </w:rPr>
        <w:t>申请单位名称：</w:t>
      </w:r>
      <w:r>
        <w:rPr>
          <w:rFonts w:hint="eastAsia" w:ascii="仿宋" w:hAnsi="仿宋" w:eastAsia="仿宋"/>
          <w:b/>
          <w:bCs/>
          <w:sz w:val="24"/>
          <w:u w:val="single"/>
          <w:lang w:val="en-US" w:eastAsia="zh-CN"/>
        </w:rPr>
        <w:t xml:space="preserve">                              </w:t>
      </w:r>
    </w:p>
    <w:tbl>
      <w:tblPr>
        <w:tblStyle w:val="11"/>
        <w:tblW w:w="487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122"/>
        <w:gridCol w:w="7475"/>
        <w:gridCol w:w="984"/>
        <w:gridCol w:w="1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评审因素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评审指标</w:t>
            </w:r>
          </w:p>
        </w:tc>
        <w:tc>
          <w:tcPr>
            <w:tcW w:w="27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评审标准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满分</w:t>
            </w:r>
          </w:p>
        </w:tc>
        <w:tc>
          <w:tcPr>
            <w:tcW w:w="371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评审分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sz w:val="24"/>
              </w:rPr>
              <w:instrText xml:space="preserve">= 1 \* Arabic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.申请单位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/>
                <w:sz w:val="24"/>
              </w:rPr>
              <w:t>相关资质情况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注册资金</w:t>
            </w:r>
          </w:p>
        </w:tc>
        <w:tc>
          <w:tcPr>
            <w:tcW w:w="27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注册资金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万元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及以上得2分，2000万元及以上得3分，不足1000万元得1分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</w:rPr>
              <w:t>分</w:t>
            </w:r>
          </w:p>
        </w:tc>
        <w:tc>
          <w:tcPr>
            <w:tcW w:w="371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注册时间</w:t>
            </w:r>
          </w:p>
        </w:tc>
        <w:tc>
          <w:tcPr>
            <w:tcW w:w="27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注册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时间5年及以上得5分，每增加2年加1分，最高8分，不足5年得3分。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8分</w:t>
            </w:r>
          </w:p>
        </w:tc>
        <w:tc>
          <w:tcPr>
            <w:tcW w:w="371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教育资质</w:t>
            </w:r>
          </w:p>
        </w:tc>
        <w:tc>
          <w:tcPr>
            <w:tcW w:w="27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具有相关行政主管部门核发的教育咨询、</w:t>
            </w:r>
            <w:r>
              <w:rPr>
                <w:rFonts w:hint="eastAsia" w:ascii="仿宋" w:hAnsi="仿宋" w:eastAsia="仿宋"/>
                <w:sz w:val="24"/>
              </w:rPr>
              <w:t>教育培训、学历教育、继续教育等方面的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许可证或</w:t>
            </w:r>
            <w:r>
              <w:rPr>
                <w:rFonts w:hint="eastAsia" w:ascii="仿宋" w:hAnsi="仿宋" w:eastAsia="仿宋"/>
                <w:sz w:val="24"/>
              </w:rPr>
              <w:t>资质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之一，得2分；每多一个加1分，最高5分。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5分</w:t>
            </w:r>
          </w:p>
        </w:tc>
        <w:tc>
          <w:tcPr>
            <w:tcW w:w="3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2.申请单位的基础条件情况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员工人数</w:t>
            </w:r>
          </w:p>
        </w:tc>
        <w:tc>
          <w:tcPr>
            <w:tcW w:w="270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提供员工社保在缴证明，30人及以上得3分，每增加10人加1分，最高5分，11-29人得2分，不足10人不得分。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 w:val="24"/>
              </w:rPr>
              <w:t>分</w:t>
            </w:r>
          </w:p>
        </w:tc>
        <w:tc>
          <w:tcPr>
            <w:tcW w:w="3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财务状况</w:t>
            </w:r>
          </w:p>
        </w:tc>
        <w:tc>
          <w:tcPr>
            <w:tcW w:w="270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2022年财务审计报告或者财务报表的资产负债率≤70%且营业利润为正，否则为0分；营业利润100-499万元得3分，每增加50万元加1分，最高5分，不足100万元得1分。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5分</w:t>
            </w:r>
          </w:p>
        </w:tc>
        <w:tc>
          <w:tcPr>
            <w:tcW w:w="3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办公场地面积</w:t>
            </w:r>
          </w:p>
        </w:tc>
        <w:tc>
          <w:tcPr>
            <w:tcW w:w="270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 w:cs="Arial"/>
                <w:sz w:val="24"/>
              </w:rPr>
              <w:t>固定的</w:t>
            </w:r>
            <w:r>
              <w:rPr>
                <w:rFonts w:hint="eastAsia" w:ascii="仿宋" w:hAnsi="仿宋" w:eastAsia="仿宋" w:cs="Arial"/>
                <w:sz w:val="24"/>
              </w:rPr>
              <w:t>办公</w:t>
            </w:r>
            <w:r>
              <w:rPr>
                <w:rFonts w:ascii="仿宋" w:hAnsi="仿宋" w:eastAsia="仿宋" w:cs="Arial"/>
                <w:sz w:val="24"/>
              </w:rPr>
              <w:t>场地符合国家、地方有关安全、消防、卫生等方面的要求</w:t>
            </w:r>
            <w:r>
              <w:rPr>
                <w:rFonts w:hint="eastAsia" w:ascii="仿宋" w:hAnsi="仿宋" w:eastAsia="仿宋" w:cs="Arial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总面积</w:t>
            </w:r>
            <w:r>
              <w:rPr>
                <w:rFonts w:ascii="仿宋" w:hAnsi="仿宋" w:eastAsia="仿宋"/>
                <w:sz w:val="24"/>
              </w:rPr>
              <w:t>100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平方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米及以上</w:t>
            </w:r>
            <w:r>
              <w:rPr>
                <w:rFonts w:hint="eastAsia" w:ascii="仿宋" w:hAnsi="仿宋" w:eastAsia="仿宋" w:cs="Arial"/>
                <w:sz w:val="24"/>
                <w:lang w:val="en-US" w:eastAsia="zh-CN"/>
              </w:rPr>
              <w:t>得5分；500-999平方米得4分；不足500平方米得3分</w:t>
            </w:r>
            <w:r>
              <w:rPr>
                <w:rFonts w:hint="eastAsia" w:ascii="仿宋" w:hAnsi="仿宋" w:eastAsia="仿宋" w:cs="Arial"/>
                <w:sz w:val="24"/>
              </w:rPr>
              <w:t>。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5分</w:t>
            </w:r>
          </w:p>
        </w:tc>
        <w:tc>
          <w:tcPr>
            <w:tcW w:w="3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各城市教学点</w:t>
            </w:r>
          </w:p>
        </w:tc>
        <w:tc>
          <w:tcPr>
            <w:tcW w:w="270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在国内地级市有现成教学点，每有1个得1分，最高6分。（与主办院校的合作协议、房屋租赁协议等）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6分</w:t>
            </w:r>
          </w:p>
        </w:tc>
        <w:tc>
          <w:tcPr>
            <w:tcW w:w="3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类似业绩</w:t>
            </w:r>
          </w:p>
        </w:tc>
        <w:tc>
          <w:tcPr>
            <w:tcW w:w="270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具有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5个及以上与本项目类似的</w:t>
            </w:r>
            <w:r>
              <w:rPr>
                <w:rFonts w:hint="eastAsia" w:ascii="仿宋" w:hAnsi="仿宋" w:eastAsia="仿宋"/>
                <w:sz w:val="24"/>
              </w:rPr>
              <w:t>业绩得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3-4个得6分；1-2个得4分；最高10分。没有业绩不得分。（与主办院校的合作协议）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有国有企业或大型民营企业的教育培训业绩，每有1个得1分，最高4分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（与主办单位的合作协议）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以上两类业绩不重复计算。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12分</w:t>
            </w:r>
          </w:p>
        </w:tc>
        <w:tc>
          <w:tcPr>
            <w:tcW w:w="3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.申请单位校外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助学</w:t>
            </w:r>
            <w:r>
              <w:rPr>
                <w:rFonts w:hint="eastAsia" w:ascii="仿宋" w:hAnsi="仿宋" w:eastAsia="仿宋"/>
                <w:sz w:val="24"/>
              </w:rPr>
              <w:t>中心建设能力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 w:cs="Arial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制定校外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助学</w:t>
            </w:r>
            <w:r>
              <w:rPr>
                <w:rFonts w:hint="eastAsia" w:ascii="仿宋" w:hAnsi="仿宋" w:eastAsia="仿宋"/>
                <w:sz w:val="24"/>
              </w:rPr>
              <w:t>中心建设方案</w:t>
            </w:r>
          </w:p>
        </w:tc>
        <w:tc>
          <w:tcPr>
            <w:tcW w:w="27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方案包括但不限于建设区域、专业（明确专业）及目标服务人数、服务价格、服务人数承诺及未能完成的制约方案、推广渠道和方法、教育资源及技术优势、管理制度和措施等内容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4"/>
              </w:rPr>
              <w:t>方案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总体上</w:t>
            </w:r>
            <w:r>
              <w:rPr>
                <w:rFonts w:hint="eastAsia" w:ascii="仿宋" w:hAnsi="仿宋" w:eastAsia="仿宋"/>
                <w:sz w:val="24"/>
              </w:rPr>
              <w:t>科学、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可行、</w:t>
            </w:r>
            <w:r>
              <w:rPr>
                <w:rFonts w:hint="eastAsia" w:ascii="仿宋" w:hAnsi="仿宋" w:eastAsia="仿宋"/>
                <w:sz w:val="24"/>
              </w:rPr>
              <w:t>可靠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有针对性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措施具体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符合我校实际情况及需求。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根据建设方案措施的全面性、针对性、可行性等方面进行评分。优秀（35-40）分；良好（20-34）分；一般（0-19）分；未提出承诺及制约方案的扣5分。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40分</w:t>
            </w:r>
          </w:p>
        </w:tc>
        <w:tc>
          <w:tcPr>
            <w:tcW w:w="3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4.增值服务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优惠条件及特殊承诺</w:t>
            </w:r>
          </w:p>
        </w:tc>
        <w:tc>
          <w:tcPr>
            <w:tcW w:w="27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申请单位提出的优惠条件和承诺情况，及其可实现程度。包括但不限于费用、教师差旅补贴、课程资源等，每提供一项可实现的优惠加1分，最高5分。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 w:val="24"/>
              </w:rPr>
              <w:t>分</w:t>
            </w:r>
          </w:p>
        </w:tc>
        <w:tc>
          <w:tcPr>
            <w:tcW w:w="3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其他资质材料</w:t>
            </w:r>
          </w:p>
        </w:tc>
        <w:tc>
          <w:tcPr>
            <w:tcW w:w="7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24"/>
                <w:lang w:val="en-US" w:eastAsia="zh-CN"/>
              </w:rPr>
              <w:t>其他能反映申请单位资质及能力的材料</w:t>
            </w:r>
          </w:p>
        </w:tc>
        <w:tc>
          <w:tcPr>
            <w:tcW w:w="27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所提供的其他资质有助于项目开展的，每个国家级项目或平台加2分，每个省部级项目或平台加1分，最高6分。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  <w:sz w:val="24"/>
              </w:rPr>
              <w:t>分</w:t>
            </w:r>
          </w:p>
        </w:tc>
        <w:tc>
          <w:tcPr>
            <w:tcW w:w="3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7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总  分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100分</w:t>
            </w:r>
          </w:p>
        </w:tc>
        <w:tc>
          <w:tcPr>
            <w:tcW w:w="3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评审意见</w:t>
            </w:r>
          </w:p>
        </w:tc>
        <w:tc>
          <w:tcPr>
            <w:tcW w:w="347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评审专家签名：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right"/>
              <w:textAlignment w:val="auto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 年    月    日            </w:t>
            </w:r>
          </w:p>
        </w:tc>
        <w:tc>
          <w:tcPr>
            <w:tcW w:w="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79" w:beforeLines="25" w:after="79" w:afterLines="25" w:line="240" w:lineRule="auto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注：本评审标准不适用于公办学校。</w:t>
      </w:r>
    </w:p>
    <w:sectPr>
      <w:pgSz w:w="16838" w:h="11906" w:orient="landscape"/>
      <w:pgMar w:top="1701" w:right="1440" w:bottom="1134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77E62C"/>
    <w:multiLevelType w:val="multilevel"/>
    <w:tmpl w:val="4977E62C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ZjUyNzdiNWM4OTczZTY5M2NlZGJmNDNlYzkxMjIifQ=="/>
  </w:docVars>
  <w:rsids>
    <w:rsidRoot w:val="233F6011"/>
    <w:rsid w:val="05A103D9"/>
    <w:rsid w:val="20454002"/>
    <w:rsid w:val="233F6011"/>
    <w:rsid w:val="2745637C"/>
    <w:rsid w:val="3519205F"/>
    <w:rsid w:val="393F5479"/>
    <w:rsid w:val="4AD90587"/>
    <w:rsid w:val="4C2F6E72"/>
    <w:rsid w:val="4E3D3448"/>
    <w:rsid w:val="5AF46826"/>
    <w:rsid w:val="5E6E797B"/>
    <w:rsid w:val="5FE12A15"/>
    <w:rsid w:val="65CC2ABB"/>
    <w:rsid w:val="7166607B"/>
    <w:rsid w:val="722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10" w:beforeLines="0" w:beforeAutospacing="0" w:after="10" w:afterLines="0" w:afterAutospacing="0" w:line="240" w:lineRule="auto"/>
      <w:outlineLvl w:val="1"/>
    </w:pPr>
    <w:rPr>
      <w:rFonts w:ascii="Times New Roman" w:hAnsi="Times New Roman" w:eastAsia="宋体"/>
      <w:b/>
      <w:bCs/>
      <w:sz w:val="21"/>
      <w:szCs w:val="21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2023-11-18T14:53:00Z</dcterms:created>
  <dc:creator>shally</dc:creator>
  <cp:lastModifiedBy>shally</cp:lastModifiedBy>
  <dcterms:modified xsi:type="dcterms:W3CDTF">2023-11-24T02:19:44Z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C75F177C4D5C4EFAA57B56EE29FFAD17_13</vt:lpwstr>
  </property>
</Properties>
</file>